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15565" w14:textId="2457C1DF" w:rsidR="005F0506" w:rsidRPr="00BC101B" w:rsidRDefault="56A1CB0E" w:rsidP="5FE8C812">
      <w:r w:rsidRPr="00F92F6D">
        <w:rPr>
          <w:b/>
          <w:lang w:bidi="fr-CA"/>
        </w:rPr>
        <w:t>CCMTGC 2025 – Marche, cours, roule | Messages clés</w:t>
      </w:r>
      <w:r w:rsidRPr="00F92F6D">
        <w:rPr>
          <w:b/>
          <w:lang w:bidi="fr-CA"/>
        </w:rPr>
        <w:br/>
      </w:r>
      <w:r w:rsidRPr="00F92F6D">
        <w:rPr>
          <w:b/>
          <w:lang w:bidi="fr-CA"/>
        </w:rPr>
        <w:br/>
      </w:r>
      <w:r w:rsidRPr="00F92F6D">
        <w:rPr>
          <w:lang w:bidi="fr-CA"/>
        </w:rPr>
        <w:t xml:space="preserve">Les messages clés qui suivent visent à aider les équipes et les organismes fédéraux à promouvoir la participation de leurs membres au défi </w:t>
      </w:r>
      <w:hyperlink r:id="rId9" w:history="1">
        <w:r w:rsidR="61121740" w:rsidRPr="00F92F6D">
          <w:rPr>
            <w:rStyle w:val="Hyperlink"/>
            <w:lang w:bidi="fr-CA"/>
          </w:rPr>
          <w:t>Marche, cours, roule 2025</w:t>
        </w:r>
      </w:hyperlink>
      <w:r w:rsidRPr="00F92F6D">
        <w:rPr>
          <w:lang w:bidi="fr-CA"/>
        </w:rPr>
        <w:t>. Ces messages peuvent être utilisés dans des courriels, des présentations, des publications sur les médias sociaux ou des documents visant à accroître la sensibilisation, à encourager la participation et à mettre l’accent sur les effets de l’action collective.</w:t>
      </w:r>
    </w:p>
    <w:p w14:paraId="3245518B" w14:textId="509551EC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1. Mener par l’exemple (pour les cadres)</w:t>
      </w:r>
    </w:p>
    <w:p w14:paraId="66F218BD" w14:textId="36CDFEFA" w:rsidR="005F0506" w:rsidRPr="00BC101B" w:rsidRDefault="56A1CB0E" w:rsidP="13175ECC">
      <w:pPr>
        <w:spacing w:before="240" w:after="240"/>
      </w:pPr>
      <w:r w:rsidRPr="25D67A26">
        <w:rPr>
          <w:lang w:bidi="fr-CA"/>
        </w:rPr>
        <w:t>Votre leadership a de l’importance. Lorsque vous relevez le défi Marche, cours, roule et encouragez vo</w:t>
      </w:r>
      <w:r w:rsidR="00BC101B">
        <w:rPr>
          <w:lang w:bidi="fr-CA"/>
        </w:rPr>
        <w:t>s</w:t>
      </w:r>
      <w:r w:rsidRPr="25D67A26">
        <w:rPr>
          <w:lang w:bidi="fr-CA"/>
        </w:rPr>
        <w:t xml:space="preserve"> équipe</w:t>
      </w:r>
      <w:r w:rsidR="00BC101B">
        <w:rPr>
          <w:lang w:bidi="fr-CA"/>
        </w:rPr>
        <w:t>s</w:t>
      </w:r>
      <w:r w:rsidRPr="25D67A26">
        <w:rPr>
          <w:lang w:bidi="fr-CA"/>
        </w:rPr>
        <w:t xml:space="preserve"> à faire de même, vous contribuez à créer une culture de générosité et de solidarité dans votre milieu de travail. Soyez </w:t>
      </w:r>
      <w:r w:rsidR="00B0759F">
        <w:rPr>
          <w:lang w:bidi="fr-CA"/>
        </w:rPr>
        <w:t>la raison qui motive vos équipes à bouger – pour une bonne cause.</w:t>
      </w:r>
    </w:p>
    <w:p w14:paraId="255BFD16" w14:textId="2E9D63F9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2. Bouger c’est aider</w:t>
      </w:r>
    </w:p>
    <w:p w14:paraId="692819EA" w14:textId="5821220E" w:rsidR="005F0506" w:rsidRPr="00BC101B" w:rsidRDefault="002A59C4" w:rsidP="13175ECC">
      <w:pPr>
        <w:spacing w:before="240" w:after="240"/>
      </w:pPr>
      <w:r>
        <w:t xml:space="preserve">Marchez, courez ou roulez — chaque mouvement aide à bâtir des communautés plus fortes et en meilleure santé. Joignez-vous à des collègues de tout le pays pour soutenir la CCMTGC </w:t>
      </w:r>
      <w:r w:rsidR="00B0759F">
        <w:t xml:space="preserve">ainsi que </w:t>
      </w:r>
      <w:r w:rsidR="56A1CB0E" w:rsidRPr="00F92F6D">
        <w:rPr>
          <w:lang w:bidi="fr-CA"/>
        </w:rPr>
        <w:t xml:space="preserve">le travail essentiel de </w:t>
      </w:r>
      <w:hyperlink r:id="rId10" w:history="1">
        <w:r w:rsidR="007B1F3A" w:rsidRPr="007913E4">
          <w:rPr>
            <w:rStyle w:val="Hyperlink"/>
            <w:lang w:bidi="fr-CA"/>
          </w:rPr>
          <w:t>PartenaireSanté</w:t>
        </w:r>
      </w:hyperlink>
      <w:r w:rsidR="56A1CB0E" w:rsidRPr="00F92F6D">
        <w:rPr>
          <w:lang w:bidi="fr-CA"/>
        </w:rPr>
        <w:t xml:space="preserve"> et de </w:t>
      </w:r>
      <w:hyperlink r:id="rId11" w:history="1">
        <w:r w:rsidR="007B1F3A" w:rsidRPr="007913E4">
          <w:rPr>
            <w:rStyle w:val="Hyperlink"/>
            <w:lang w:bidi="fr-CA"/>
          </w:rPr>
          <w:t>Centraide United Way</w:t>
        </w:r>
      </w:hyperlink>
      <w:r w:rsidR="56A1CB0E" w:rsidRPr="00F92F6D">
        <w:rPr>
          <w:lang w:bidi="fr-CA"/>
        </w:rPr>
        <w:t>.</w:t>
      </w:r>
    </w:p>
    <w:p w14:paraId="05E04A4A" w14:textId="6AADA08D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3. Un geste qui parle fort</w:t>
      </w:r>
    </w:p>
    <w:p w14:paraId="379C86D3" w14:textId="0AED0E11" w:rsidR="00D10F1F" w:rsidRDefault="002A59C4" w:rsidP="002A59C4">
      <w:pPr>
        <w:spacing w:before="240" w:after="240"/>
        <w:rPr>
          <w:lang w:bidi="fr-CA"/>
        </w:rPr>
      </w:pPr>
      <w:r>
        <w:rPr>
          <w:lang w:bidi="fr-CA"/>
        </w:rPr>
        <w:t xml:space="preserve">Le défi </w:t>
      </w:r>
      <w:r w:rsidRPr="005A7827">
        <w:rPr>
          <w:lang w:bidi="fr-CA"/>
        </w:rPr>
        <w:t>Marche, cours, roule</w:t>
      </w:r>
      <w:r>
        <w:rPr>
          <w:lang w:bidi="fr-CA"/>
        </w:rPr>
        <w:t xml:space="preserve"> ne se résume pas à une course — c’est une façon de se mobiliser pour votre communauté. Votre participation aide à accroître la sensibilisation et à appuyer le travail des bénéficiaires désignés, de PartenaireSanté et de Centraide United Way.</w:t>
      </w:r>
    </w:p>
    <w:p w14:paraId="11BC7602" w14:textId="2E147D00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4. Un événement inclusif et accessible pour tout le monde</w:t>
      </w:r>
    </w:p>
    <w:p w14:paraId="064CF4F5" w14:textId="515E03B0" w:rsidR="00D10F1F" w:rsidRDefault="00D10F1F" w:rsidP="00D10F1F">
      <w:pPr>
        <w:spacing w:before="240" w:after="240"/>
        <w:rPr>
          <w:lang w:bidi="fr-CA"/>
        </w:rPr>
      </w:pPr>
      <w:r>
        <w:rPr>
          <w:lang w:bidi="fr-CA"/>
        </w:rPr>
        <w:t xml:space="preserve">Tout le monde peut participer, n’importe quand, n’importe où. Le défi </w:t>
      </w:r>
      <w:r w:rsidRPr="005A7827">
        <w:rPr>
          <w:lang w:bidi="fr-CA"/>
        </w:rPr>
        <w:t>Marche, cours, roule</w:t>
      </w:r>
      <w:r>
        <w:rPr>
          <w:lang w:bidi="fr-CA"/>
        </w:rPr>
        <w:t xml:space="preserve"> est conçu pour être inclusif, adaptable et amusant pour tous les niveaux de mobilité et de forme physique. Chaque mouvement compte.</w:t>
      </w:r>
    </w:p>
    <w:p w14:paraId="3B8B507A" w14:textId="6FBC8C02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5. Plus forts ensemble, un pas, une poussée à la fois</w:t>
      </w:r>
    </w:p>
    <w:p w14:paraId="65C27CC7" w14:textId="64DECE1B" w:rsidR="00D10F1F" w:rsidRPr="00D10F1F" w:rsidRDefault="00D10F1F" w:rsidP="5FE8C812">
      <w:pPr>
        <w:pStyle w:val="Heading4"/>
        <w:spacing w:before="319" w:after="319"/>
        <w:rPr>
          <w:i w:val="0"/>
          <w:iCs w:val="0"/>
          <w:color w:val="auto"/>
        </w:rPr>
      </w:pPr>
      <w:r w:rsidRPr="00D10F1F">
        <w:rPr>
          <w:i w:val="0"/>
          <w:iCs w:val="0"/>
          <w:color w:val="auto"/>
        </w:rPr>
        <w:t xml:space="preserve">Il ne s’agit pas seulement d’un événement de bien-être. Ensemble, nous pouvons bouger pour ce qui compte afin de soutenir nos communautés. Montrons </w:t>
      </w:r>
      <w:r>
        <w:rPr>
          <w:i w:val="0"/>
          <w:iCs w:val="0"/>
          <w:color w:val="auto"/>
        </w:rPr>
        <w:t>à tout le pays</w:t>
      </w:r>
      <w:r w:rsidRPr="00D10F1F">
        <w:rPr>
          <w:i w:val="0"/>
          <w:iCs w:val="0"/>
          <w:color w:val="auto"/>
        </w:rPr>
        <w:t xml:space="preserve"> ce qu’est la solidarité!</w:t>
      </w:r>
    </w:p>
    <w:p w14:paraId="0B234DDC" w14:textId="52280E89" w:rsidR="005F0506" w:rsidRPr="00BC101B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</w:rPr>
      </w:pPr>
      <w:r w:rsidRPr="00F92F6D">
        <w:rPr>
          <w:rFonts w:eastAsia="Arial" w:cs="Arial"/>
          <w:b/>
          <w:i w:val="0"/>
          <w:color w:val="auto"/>
          <w:lang w:bidi="fr-CA"/>
        </w:rPr>
        <w:t>6. Amplifiez le mouvement en partageant</w:t>
      </w:r>
    </w:p>
    <w:p w14:paraId="3BFEFB25" w14:textId="346ADE7F" w:rsidR="005F0506" w:rsidRDefault="00D10F1F" w:rsidP="00D10F1F">
      <w:pPr>
        <w:spacing w:before="240" w:after="240"/>
        <w:rPr>
          <w:lang w:val="en-US"/>
        </w:rPr>
      </w:pPr>
      <w:r>
        <w:lastRenderedPageBreak/>
        <w:t xml:space="preserve">Représentez fièrement votre organisme fédéral, partagez vos photos et vos histoires et utilisez le mot-clic </w:t>
      </w:r>
      <w:r w:rsidRPr="00D10F1F">
        <w:rPr>
          <w:b/>
          <w:bCs/>
        </w:rPr>
        <w:t xml:space="preserve">#CCMTGCCommunautes </w:t>
      </w:r>
      <w:r>
        <w:t>pour inspirer d’autres personnes à participer. Ensemble, nous faisons en sorte que chaque mouvement compte.</w:t>
      </w:r>
    </w:p>
    <w:sectPr w:rsidR="005F0506">
      <w:headerReference w:type="even" r:id="rId12"/>
      <w:headerReference w:type="default" r:id="rId13"/>
      <w:head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6E5E8" w14:textId="77777777" w:rsidR="003122CC" w:rsidRDefault="003122CC">
      <w:pPr>
        <w:spacing w:before="0" w:after="0" w:line="240" w:lineRule="auto"/>
      </w:pPr>
    </w:p>
  </w:endnote>
  <w:endnote w:type="continuationSeparator" w:id="0">
    <w:p w14:paraId="70DB3F32" w14:textId="77777777" w:rsidR="003122CC" w:rsidRDefault="003122C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D72A5" w14:textId="77777777" w:rsidR="003122CC" w:rsidRDefault="003122CC">
      <w:pPr>
        <w:spacing w:before="0" w:after="0" w:line="240" w:lineRule="auto"/>
      </w:pPr>
    </w:p>
  </w:footnote>
  <w:footnote w:type="continuationSeparator" w:id="0">
    <w:p w14:paraId="04DCF8B5" w14:textId="77777777" w:rsidR="003122CC" w:rsidRDefault="003122C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93C0" w14:textId="77777777" w:rsidR="00B818AE" w:rsidRDefault="00B818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11BB" w14:textId="77777777" w:rsidR="00B818AE" w:rsidRDefault="00B818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5855" w14:textId="77777777" w:rsidR="00B818AE" w:rsidRDefault="00B818A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CE929"/>
    <w:rsid w:val="000821A1"/>
    <w:rsid w:val="000F113C"/>
    <w:rsid w:val="001B5740"/>
    <w:rsid w:val="002A59C4"/>
    <w:rsid w:val="002B77B4"/>
    <w:rsid w:val="003122CC"/>
    <w:rsid w:val="0034051A"/>
    <w:rsid w:val="00414681"/>
    <w:rsid w:val="004908AA"/>
    <w:rsid w:val="005A7827"/>
    <w:rsid w:val="005D32A1"/>
    <w:rsid w:val="005F0506"/>
    <w:rsid w:val="0063515E"/>
    <w:rsid w:val="007913E4"/>
    <w:rsid w:val="007B1F3A"/>
    <w:rsid w:val="00855C7D"/>
    <w:rsid w:val="0099105C"/>
    <w:rsid w:val="00A2638C"/>
    <w:rsid w:val="00A331EA"/>
    <w:rsid w:val="00AF4951"/>
    <w:rsid w:val="00B0759F"/>
    <w:rsid w:val="00B818AE"/>
    <w:rsid w:val="00BB41D2"/>
    <w:rsid w:val="00BC101B"/>
    <w:rsid w:val="00C56840"/>
    <w:rsid w:val="00CF4E83"/>
    <w:rsid w:val="00D0026A"/>
    <w:rsid w:val="00D10F1F"/>
    <w:rsid w:val="00F54608"/>
    <w:rsid w:val="00F92F6D"/>
    <w:rsid w:val="00FD402D"/>
    <w:rsid w:val="00FF7208"/>
    <w:rsid w:val="01DE4AFA"/>
    <w:rsid w:val="078F0E77"/>
    <w:rsid w:val="13175ECC"/>
    <w:rsid w:val="13F52CC3"/>
    <w:rsid w:val="155CE929"/>
    <w:rsid w:val="1EF57193"/>
    <w:rsid w:val="1FD8698E"/>
    <w:rsid w:val="209DA6B0"/>
    <w:rsid w:val="21488597"/>
    <w:rsid w:val="25D67A26"/>
    <w:rsid w:val="2ED0C44C"/>
    <w:rsid w:val="328CD7F7"/>
    <w:rsid w:val="39A3CDBE"/>
    <w:rsid w:val="3D706F8F"/>
    <w:rsid w:val="40601C0E"/>
    <w:rsid w:val="428B8989"/>
    <w:rsid w:val="438DDEF3"/>
    <w:rsid w:val="44584DD6"/>
    <w:rsid w:val="493C9605"/>
    <w:rsid w:val="4F00151C"/>
    <w:rsid w:val="56A1CB0E"/>
    <w:rsid w:val="586009D8"/>
    <w:rsid w:val="593421D6"/>
    <w:rsid w:val="5E830319"/>
    <w:rsid w:val="5FE8C812"/>
    <w:rsid w:val="604CEA6F"/>
    <w:rsid w:val="60F76A63"/>
    <w:rsid w:val="61121740"/>
    <w:rsid w:val="6302A330"/>
    <w:rsid w:val="634E5315"/>
    <w:rsid w:val="66281947"/>
    <w:rsid w:val="673A8790"/>
    <w:rsid w:val="678BB920"/>
    <w:rsid w:val="6E2726F9"/>
    <w:rsid w:val="6F3F41F5"/>
    <w:rsid w:val="735EC95D"/>
    <w:rsid w:val="74B1713F"/>
    <w:rsid w:val="7710C9E0"/>
    <w:rsid w:val="77451D71"/>
    <w:rsid w:val="777731C8"/>
    <w:rsid w:val="7BCA59B6"/>
    <w:rsid w:val="7BF2EC49"/>
    <w:rsid w:val="7DDCB201"/>
    <w:rsid w:val="7FC1A85F"/>
    <w:rsid w:val="7FC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E929"/>
  <w15:chartTrackingRefBased/>
  <w15:docId w15:val="{7C9C99E6-B976-4480-AE8F-7B0C1AD2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3175ECC"/>
    <w:pPr>
      <w:keepNext/>
      <w:keepLines/>
      <w:spacing w:before="160" w:after="80"/>
      <w:outlineLvl w:val="2"/>
    </w:pPr>
    <w:rPr>
      <w:rFonts w:ascii="Arial" w:eastAsia="Arial" w:hAnsi="Arial" w:cs="Arial"/>
    </w:rPr>
  </w:style>
  <w:style w:type="paragraph" w:styleId="Heading3">
    <w:name w:val="heading 3"/>
    <w:basedOn w:val="Normal"/>
    <w:next w:val="Normal"/>
    <w:uiPriority w:val="9"/>
    <w:unhideWhenUsed/>
    <w:qFormat/>
    <w:rsid w:val="13175ECC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13175ECC"/>
    <w:p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818AE"/>
    <w:pPr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818A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8AE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90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08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08A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8AA"/>
    <w:rPr>
      <w:rFonts w:ascii="Arial" w:eastAsia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2F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2F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759F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59C4"/>
    <w:pPr>
      <w:keepNext w:val="0"/>
      <w:keepLines w:val="0"/>
      <w:spacing w:before="100" w:beforeAutospacing="1" w:after="100" w:afterAutospacing="1" w:line="240" w:lineRule="auto"/>
      <w:outlineLvl w:val="9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2A59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ntraide.ca/notre-impac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artenairesante.ca/notre-impact/" TargetMode="External"/><Relationship Id="rId4" Type="http://schemas.openxmlformats.org/officeDocument/2006/relationships/styles" Target="styles.xml"/><Relationship Id="rId9" Type="http://schemas.openxmlformats.org/officeDocument/2006/relationships/hyperlink" Target="https://secure.e2rm.com/p2p/event/393137/fr-C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ED9DE-0F80-4858-B673-0302873468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1F038-FF5B-436C-9A89-EA1AAC4E0054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3.xml><?xml version="1.0" encoding="utf-8"?>
<ds:datastoreItem xmlns:ds="http://schemas.openxmlformats.org/officeDocument/2006/customXml" ds:itemID="{91C86D72-6DA9-47B7-A0A5-5BD86724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Hazelwood, Tracey (PHAC/ASPC)</cp:lastModifiedBy>
  <cp:revision>2</cp:revision>
  <dcterms:created xsi:type="dcterms:W3CDTF">2025-10-01T17:43:00Z</dcterms:created>
  <dcterms:modified xsi:type="dcterms:W3CDTF">2025-10-01T17:43:00Z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d8ed60-cd71-485b-a85b-277aaf32f506_Enabled">
    <vt:lpwstr>true</vt:lpwstr>
  </property>
  <property fmtid="{D5CDD505-2E9C-101B-9397-08002B2CF9AE}" pid="3" name="MSIP_Label_05d8ed60-cd71-485b-a85b-277aaf32f506_SetDate">
    <vt:lpwstr>2025-09-17T18:17:13Z</vt:lpwstr>
  </property>
  <property fmtid="{D5CDD505-2E9C-101B-9397-08002B2CF9AE}" pid="4" name="MSIP_Label_05d8ed60-cd71-485b-a85b-277aaf32f506_Method">
    <vt:lpwstr>Standard</vt:lpwstr>
  </property>
  <property fmtid="{D5CDD505-2E9C-101B-9397-08002B2CF9AE}" pid="5" name="MSIP_Label_05d8ed60-cd71-485b-a85b-277aaf32f506_Name">
    <vt:lpwstr>Unclassified</vt:lpwstr>
  </property>
  <property fmtid="{D5CDD505-2E9C-101B-9397-08002B2CF9AE}" pid="6" name="MSIP_Label_05d8ed60-cd71-485b-a85b-277aaf32f506_SiteId">
    <vt:lpwstr>42fd9015-de4d-4223-a368-baeacab48927</vt:lpwstr>
  </property>
  <property fmtid="{D5CDD505-2E9C-101B-9397-08002B2CF9AE}" pid="7" name="MSIP_Label_05d8ed60-cd71-485b-a85b-277aaf32f506_ActionId">
    <vt:lpwstr>6377e67f-bcc1-4ee3-8070-359756bfeb9b</vt:lpwstr>
  </property>
  <property fmtid="{D5CDD505-2E9C-101B-9397-08002B2CF9AE}" pid="8" name="MSIP_Label_05d8ed60-cd71-485b-a85b-277aaf32f506_ContentBits">
    <vt:lpwstr>1</vt:lpwstr>
  </property>
  <property fmtid="{D5CDD505-2E9C-101B-9397-08002B2CF9AE}" pid="9" name="MSIP_Label_05d8ed60-cd71-485b-a85b-277aaf32f506_Tag">
    <vt:lpwstr>10, 3, 0, 1</vt:lpwstr>
  </property>
  <property fmtid="{D5CDD505-2E9C-101B-9397-08002B2CF9AE}" pid="10" name="ContentTypeId">
    <vt:lpwstr>0x0101008ACBC8B830E08E41B92C38BF44845962</vt:lpwstr>
  </property>
</Properties>
</file>